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浙江大学青山海外交流基金</w:t>
      </w:r>
      <w:r>
        <w:rPr>
          <w:rFonts w:hint="eastAsia" w:ascii="宋体" w:eastAsia="宋体"/>
        </w:rPr>
        <w:t>实</w:t>
      </w:r>
      <w:r>
        <w:t>施</w:t>
      </w:r>
      <w:r>
        <w:rPr>
          <w:rFonts w:hint="eastAsia" w:ascii="宋体" w:eastAsia="宋体"/>
        </w:rPr>
        <w:t>办</w:t>
      </w:r>
      <w:r>
        <w:t>法</w:t>
      </w:r>
    </w:p>
    <w:p>
      <w:pPr>
        <w:spacing w:before="239"/>
        <w:ind w:left="0" w:right="300" w:firstLine="0"/>
        <w:jc w:val="center"/>
        <w:rPr>
          <w:rFonts w:hint="eastAsia" w:ascii="MS PMincho" w:eastAsia="MS PMincho"/>
          <w:sz w:val="36"/>
        </w:rPr>
      </w:pPr>
      <w:r>
        <w:rPr>
          <w:rFonts w:hint="eastAsia" w:ascii="MS PMincho" w:eastAsia="MS PMincho"/>
          <w:w w:val="180"/>
          <w:sz w:val="36"/>
        </w:rPr>
        <w:t>（</w:t>
      </w:r>
      <w:r>
        <w:rPr>
          <w:w w:val="120"/>
          <w:sz w:val="36"/>
        </w:rPr>
        <w:t>试</w:t>
      </w:r>
      <w:r>
        <w:rPr>
          <w:rFonts w:hint="eastAsia" w:ascii="MS PMincho" w:eastAsia="MS PMincho"/>
          <w:w w:val="120"/>
          <w:sz w:val="36"/>
        </w:rPr>
        <w:t>行</w:t>
      </w:r>
      <w:r>
        <w:rPr>
          <w:rFonts w:hint="eastAsia" w:ascii="MS PMincho" w:eastAsia="MS PMincho"/>
          <w:w w:val="180"/>
          <w:sz w:val="36"/>
        </w:rPr>
        <w:t>）</w:t>
      </w:r>
    </w:p>
    <w:p>
      <w:pPr>
        <w:pStyle w:val="4"/>
        <w:spacing w:before="218" w:line="374" w:lineRule="auto"/>
        <w:ind w:right="417" w:firstLine="600"/>
        <w:jc w:val="both"/>
      </w:pPr>
      <w:r>
        <w:rPr>
          <w:spacing w:val="-7"/>
        </w:rPr>
        <w:t>为支持浙江大学人才培养，进一步开拓学生国际视野，培育</w:t>
      </w:r>
      <w:r>
        <w:rPr>
          <w:spacing w:val="-6"/>
        </w:rPr>
        <w:t>具有国际化视野和全球竞争力的优秀人才，力争让更多优秀的学</w:t>
      </w:r>
      <w:r>
        <w:rPr>
          <w:spacing w:val="-7"/>
        </w:rPr>
        <w:t>子能够赴国际一流大学深造和交流。青山慈善基金会特向浙江大</w:t>
      </w:r>
      <w:r>
        <w:rPr>
          <w:spacing w:val="-8"/>
        </w:rPr>
        <w:t>学教育基金会捐赠设立“浙江大学青山海外交流基金”，并制定</w:t>
      </w:r>
      <w:r>
        <w:t>本实施办法。</w:t>
      </w:r>
    </w:p>
    <w:p>
      <w:pPr>
        <w:pStyle w:val="4"/>
        <w:spacing w:before="2"/>
        <w:ind w:left="3520"/>
      </w:pPr>
      <w:r>
        <w:t>第一章总则</w:t>
      </w:r>
    </w:p>
    <w:p>
      <w:pPr>
        <w:pStyle w:val="4"/>
        <w:spacing w:before="203" w:line="326" w:lineRule="auto"/>
        <w:ind w:right="420" w:firstLine="600"/>
      </w:pPr>
      <w:r>
        <w:rPr>
          <w:rFonts w:hint="eastAsia" w:ascii="等线" w:hAnsi="等线" w:eastAsia="等线"/>
          <w:b/>
        </w:rPr>
        <w:t>第一条</w:t>
      </w:r>
      <w:r>
        <w:rPr>
          <w:spacing w:val="-8"/>
        </w:rPr>
        <w:t>基金名称为：“浙江大学青山海外交流基金”</w:t>
      </w:r>
      <w:r>
        <w:rPr>
          <w:spacing w:val="-24"/>
        </w:rPr>
        <w:t>（</w:t>
      </w:r>
      <w:r>
        <w:rPr>
          <w:spacing w:val="-9"/>
        </w:rPr>
        <w:t>以下</w:t>
      </w:r>
      <w:r>
        <w:t>简称“本基金”）。</w:t>
      </w:r>
    </w:p>
    <w:p>
      <w:pPr>
        <w:pStyle w:val="4"/>
        <w:spacing w:before="63" w:line="326" w:lineRule="auto"/>
        <w:ind w:right="414" w:firstLine="600"/>
      </w:pPr>
      <w:r>
        <w:rPr>
          <w:rFonts w:hint="eastAsia" w:ascii="等线" w:eastAsia="等线"/>
          <w:b/>
          <w:spacing w:val="8"/>
        </w:rPr>
        <w:t>第二条</w:t>
      </w:r>
      <w:r>
        <w:rPr>
          <w:spacing w:val="4"/>
        </w:rPr>
        <w:t>本基金主要用于资助浙江大学材料科学与工程学院</w:t>
      </w:r>
      <w:r>
        <w:rPr>
          <w:spacing w:val="-5"/>
        </w:rPr>
        <w:t>和能源工程学院在校学生赴国际一流大学攻读学位为主，逐步扩</w:t>
      </w:r>
    </w:p>
    <w:p>
      <w:pPr>
        <w:pStyle w:val="4"/>
        <w:spacing w:before="75"/>
      </w:pPr>
      <w:r>
        <w:t>大到全校，包括联合培养项目、交换学习、海外实验室研修等。</w:t>
      </w:r>
    </w:p>
    <w:p>
      <w:pPr>
        <w:pStyle w:val="4"/>
        <w:spacing w:before="36" w:line="600" w:lineRule="exact"/>
        <w:ind w:right="414" w:firstLine="600"/>
        <w:jc w:val="both"/>
      </w:pPr>
      <w:r>
        <w:rPr>
          <w:rFonts w:hint="eastAsia" w:ascii="等线" w:eastAsia="等线"/>
          <w:b/>
          <w:spacing w:val="18"/>
        </w:rPr>
        <w:t xml:space="preserve">第三条 </w:t>
      </w:r>
      <w:r>
        <w:rPr>
          <w:spacing w:val="-1"/>
        </w:rPr>
        <w:t>国际一流大学原则上要求在上海软科世界大学学术</w:t>
      </w:r>
      <w:r>
        <w:rPr>
          <w:spacing w:val="-26"/>
        </w:rPr>
        <w:t xml:space="preserve">排名 </w:t>
      </w:r>
      <w:r>
        <w:rPr>
          <w:rFonts w:ascii="Times New Roman" w:eastAsia="Times New Roman"/>
          <w:spacing w:val="-5"/>
        </w:rPr>
        <w:t>ARWU</w:t>
      </w:r>
      <w:r>
        <w:rPr>
          <w:spacing w:val="-27"/>
        </w:rPr>
        <w:t xml:space="preserve">、英国 </w:t>
      </w:r>
      <w:r>
        <w:rPr>
          <w:rFonts w:ascii="Times New Roman" w:eastAsia="Times New Roman"/>
        </w:rPr>
        <w:t>QS</w:t>
      </w:r>
      <w:r>
        <w:rPr>
          <w:spacing w:val="-13"/>
        </w:rPr>
        <w:t xml:space="preserve">、英国泰晤士高等教育 </w:t>
      </w:r>
      <w:r>
        <w:rPr>
          <w:rFonts w:ascii="Times New Roman" w:eastAsia="Times New Roman"/>
        </w:rPr>
        <w:t>THE</w:t>
      </w:r>
      <w:r>
        <w:rPr>
          <w:spacing w:val="-6"/>
        </w:rPr>
        <w:t>、美国新闻与</w:t>
      </w:r>
      <w:r>
        <w:rPr>
          <w:spacing w:val="-19"/>
        </w:rPr>
        <w:t xml:space="preserve">世界报道 </w:t>
      </w:r>
      <w:r>
        <w:rPr>
          <w:rFonts w:ascii="Times New Roman" w:eastAsia="Times New Roman"/>
        </w:rPr>
        <w:t xml:space="preserve">USNEWS </w:t>
      </w:r>
      <w:r>
        <w:rPr>
          <w:spacing w:val="-5"/>
        </w:rPr>
        <w:t xml:space="preserve">等排行榜中至少一个排行榜进入前 </w:t>
      </w:r>
      <w:r>
        <w:rPr>
          <w:rFonts w:ascii="Times New Roman" w:eastAsia="Times New Roman"/>
        </w:rPr>
        <w:t xml:space="preserve">100 </w:t>
      </w:r>
      <w:r>
        <w:t>名或</w:t>
      </w:r>
      <w:r>
        <w:rPr>
          <w:spacing w:val="-6"/>
        </w:rPr>
        <w:t xml:space="preserve">学科排名进入以上排行榜前 </w:t>
      </w:r>
      <w:r>
        <w:rPr>
          <w:rFonts w:ascii="Times New Roman" w:eastAsia="Times New Roman"/>
        </w:rPr>
        <w:t xml:space="preserve">50 </w:t>
      </w:r>
      <w:r>
        <w:t>名。</w:t>
      </w:r>
    </w:p>
    <w:p>
      <w:pPr>
        <w:pStyle w:val="4"/>
        <w:spacing w:before="180"/>
        <w:ind w:left="3067"/>
        <w:jc w:val="both"/>
      </w:pPr>
      <w:r>
        <w:t>第二章 资助标准</w:t>
      </w:r>
    </w:p>
    <w:p>
      <w:pPr>
        <w:pStyle w:val="4"/>
        <w:spacing w:before="203"/>
        <w:ind w:left="720"/>
        <w:jc w:val="both"/>
      </w:pPr>
      <w:r>
        <w:rPr>
          <w:rFonts w:hint="eastAsia" w:ascii="等线" w:eastAsia="等线"/>
          <w:b/>
        </w:rPr>
        <w:t>第四条</w:t>
      </w:r>
      <w:r>
        <w:t xml:space="preserve">本基金分 </w:t>
      </w:r>
      <w:r>
        <w:rPr>
          <w:rFonts w:ascii="Times New Roman" w:eastAsia="Times New Roman"/>
        </w:rPr>
        <w:t>A</w:t>
      </w:r>
      <w:r>
        <w:t>、</w:t>
      </w:r>
      <w:r>
        <w:rPr>
          <w:rFonts w:ascii="Times New Roman" w:eastAsia="Times New Roman"/>
        </w:rPr>
        <w:t xml:space="preserve">B </w:t>
      </w:r>
      <w:r>
        <w:t>两类资助标准：</w:t>
      </w:r>
    </w:p>
    <w:p>
      <w:pPr>
        <w:pStyle w:val="4"/>
        <w:spacing w:before="161" w:line="374" w:lineRule="auto"/>
        <w:ind w:right="267" w:firstLine="602"/>
        <w:jc w:val="both"/>
      </w:pPr>
      <w:r>
        <w:rPr>
          <w:rFonts w:ascii="Times New Roman" w:eastAsia="Times New Roman"/>
          <w:b/>
        </w:rPr>
        <w:t xml:space="preserve">A </w:t>
      </w:r>
      <w:r>
        <w:rPr>
          <w:spacing w:val="-10"/>
        </w:rPr>
        <w:t>类：赴海外一流大学攻读学位，优先资助获得国际一流大</w:t>
      </w:r>
      <w:r>
        <w:rPr>
          <w:spacing w:val="-14"/>
        </w:rPr>
        <w:t>学博士研究生录取资格的家庭经济困难的学生。资助金额综合考</w:t>
      </w:r>
      <w:r>
        <w:rPr>
          <w:spacing w:val="-20"/>
        </w:rPr>
        <w:t>虑当地消费水平、学生家庭情况、学生已获其他资助情况等因素，</w:t>
      </w:r>
    </w:p>
    <w:p>
      <w:pPr>
        <w:spacing w:after="0" w:line="374" w:lineRule="auto"/>
        <w:jc w:val="both"/>
        <w:sectPr>
          <w:type w:val="continuous"/>
          <w:pgSz w:w="11910" w:h="16840"/>
          <w:pgMar w:top="1580" w:right="1380" w:bottom="280" w:left="1680" w:header="720" w:footer="720" w:gutter="0"/>
          <w:cols w:space="720" w:num="1"/>
        </w:sectPr>
      </w:pPr>
    </w:p>
    <w:p>
      <w:pPr>
        <w:pStyle w:val="4"/>
        <w:spacing w:before="41" w:line="374" w:lineRule="auto"/>
        <w:ind w:right="263"/>
        <w:jc w:val="both"/>
      </w:pPr>
      <w:r>
        <w:rPr>
          <w:spacing w:val="-5"/>
        </w:rPr>
        <w:t xml:space="preserve">每人每年资助金额原则上不超过 </w:t>
      </w:r>
      <w:r>
        <w:rPr>
          <w:rFonts w:ascii="Times New Roman" w:eastAsia="Times New Roman"/>
        </w:rPr>
        <w:t xml:space="preserve">30 </w:t>
      </w:r>
      <w:r>
        <w:rPr>
          <w:spacing w:val="-10"/>
        </w:rPr>
        <w:t xml:space="preserve">万元人民币，如有特殊情况， </w:t>
      </w:r>
      <w:r>
        <w:t>一事一议。</w:t>
      </w:r>
    </w:p>
    <w:p>
      <w:pPr>
        <w:pStyle w:val="4"/>
        <w:spacing w:before="1" w:line="374" w:lineRule="auto"/>
        <w:ind w:right="417" w:firstLine="602"/>
        <w:jc w:val="both"/>
      </w:pPr>
      <w:r>
        <w:rPr>
          <w:rFonts w:ascii="Times New Roman" w:eastAsia="Times New Roman"/>
          <w:b/>
        </w:rPr>
        <w:t xml:space="preserve">B </w:t>
      </w:r>
      <w:r>
        <w:rPr>
          <w:spacing w:val="-8"/>
        </w:rPr>
        <w:t>类：参加与国际一流大学的联合培养项目、交换学习、海</w:t>
      </w:r>
      <w:r>
        <w:rPr>
          <w:spacing w:val="-5"/>
        </w:rPr>
        <w:t xml:space="preserve">外实验室研修等项目，每人每月资助金额原则上不超过 </w:t>
      </w:r>
      <w:r>
        <w:rPr>
          <w:rFonts w:ascii="Times New Roman" w:eastAsia="Times New Roman"/>
        </w:rPr>
        <w:t xml:space="preserve">1.5 </w:t>
      </w:r>
      <w:r>
        <w:rPr>
          <w:spacing w:val="-8"/>
        </w:rPr>
        <w:t>万元</w:t>
      </w:r>
      <w:r>
        <w:t>人民币。</w:t>
      </w:r>
    </w:p>
    <w:p>
      <w:pPr>
        <w:pStyle w:val="4"/>
        <w:spacing w:line="326" w:lineRule="auto"/>
        <w:ind w:right="414" w:firstLine="600"/>
        <w:jc w:val="both"/>
      </w:pPr>
      <w:r>
        <w:rPr>
          <w:rFonts w:hint="eastAsia" w:ascii="等线" w:eastAsia="等线"/>
          <w:b/>
          <w:spacing w:val="18"/>
        </w:rPr>
        <w:t xml:space="preserve">第五条 </w:t>
      </w:r>
      <w:r>
        <w:rPr>
          <w:spacing w:val="-1"/>
        </w:rPr>
        <w:t>上述资助金额的核定，将综合考虑当地消费水平、</w:t>
      </w:r>
      <w:r>
        <w:rPr>
          <w:spacing w:val="-10"/>
        </w:rPr>
        <w:t>学生家庭情况、学生已获其他资助情况等因素。本基金主要用于</w:t>
      </w:r>
    </w:p>
    <w:p>
      <w:pPr>
        <w:pStyle w:val="4"/>
        <w:spacing w:before="64" w:line="374" w:lineRule="auto"/>
        <w:ind w:right="414"/>
        <w:jc w:val="both"/>
      </w:pPr>
      <w:r>
        <w:t>支持学生出国期间的学费、生活费等。可参考《财科教</w:t>
      </w:r>
      <w:r>
        <w:rPr>
          <w:rFonts w:ascii="Times New Roman" w:eastAsia="Times New Roman"/>
        </w:rPr>
        <w:t xml:space="preserve">[2019]6 </w:t>
      </w:r>
      <w:r>
        <w:t>号财政部教育部关于调整国家公派留学人员基金和艰苦地区补贴标准的通知》。</w:t>
      </w:r>
    </w:p>
    <w:p>
      <w:pPr>
        <w:pStyle w:val="4"/>
        <w:tabs>
          <w:tab w:val="left" w:pos="1202"/>
        </w:tabs>
        <w:spacing w:before="1"/>
        <w:ind w:left="0" w:right="301"/>
        <w:jc w:val="center"/>
      </w:pPr>
      <w:r>
        <w:rPr>
          <w:spacing w:val="3"/>
        </w:rPr>
        <w:t>第</w:t>
      </w:r>
      <w:r>
        <w:t>三章</w:t>
      </w:r>
      <w:r>
        <w:tab/>
      </w:r>
      <w:r>
        <w:rPr>
          <w:spacing w:val="3"/>
        </w:rPr>
        <w:t>评选</w:t>
      </w:r>
      <w:r>
        <w:t>条件</w:t>
      </w:r>
    </w:p>
    <w:p>
      <w:pPr>
        <w:pStyle w:val="3"/>
      </w:pPr>
      <w:r>
        <w:t>第六条基本条件</w:t>
      </w:r>
    </w:p>
    <w:p>
      <w:pPr>
        <w:pStyle w:val="8"/>
        <w:numPr>
          <w:ilvl w:val="0"/>
          <w:numId w:val="1"/>
        </w:numPr>
        <w:tabs>
          <w:tab w:val="left" w:pos="1477"/>
        </w:tabs>
        <w:spacing w:before="161" w:after="0" w:line="374" w:lineRule="auto"/>
        <w:ind w:left="120" w:right="416" w:firstLine="600"/>
        <w:jc w:val="left"/>
        <w:rPr>
          <w:sz w:val="30"/>
        </w:rPr>
      </w:pPr>
      <w:r>
        <w:rPr>
          <w:spacing w:val="-1"/>
          <w:sz w:val="30"/>
        </w:rPr>
        <w:t>坚持四项基本原则，有良好的思想政治素质和道德修</w:t>
      </w:r>
      <w:r>
        <w:rPr>
          <w:sz w:val="30"/>
        </w:rPr>
        <w:t>养，德智体美劳全面发展。</w:t>
      </w:r>
    </w:p>
    <w:p>
      <w:pPr>
        <w:pStyle w:val="8"/>
        <w:numPr>
          <w:ilvl w:val="0"/>
          <w:numId w:val="1"/>
        </w:numPr>
        <w:tabs>
          <w:tab w:val="left" w:pos="1473"/>
        </w:tabs>
        <w:spacing w:before="1" w:after="0" w:line="240" w:lineRule="auto"/>
        <w:ind w:left="1472" w:right="0" w:hanging="753"/>
        <w:jc w:val="left"/>
        <w:rPr>
          <w:sz w:val="30"/>
        </w:rPr>
      </w:pPr>
      <w:r>
        <w:rPr>
          <w:sz w:val="30"/>
        </w:rPr>
        <w:t>学习勤奋，严谨踏实，勇于进取，成绩优良。</w:t>
      </w:r>
    </w:p>
    <w:p>
      <w:pPr>
        <w:pStyle w:val="8"/>
        <w:numPr>
          <w:ilvl w:val="0"/>
          <w:numId w:val="1"/>
        </w:numPr>
        <w:tabs>
          <w:tab w:val="left" w:pos="1473"/>
        </w:tabs>
        <w:spacing w:before="215" w:after="0" w:line="240" w:lineRule="auto"/>
        <w:ind w:left="1472" w:right="0" w:hanging="753"/>
        <w:jc w:val="left"/>
        <w:rPr>
          <w:sz w:val="30"/>
        </w:rPr>
      </w:pPr>
      <w:r>
        <w:rPr>
          <w:sz w:val="30"/>
        </w:rPr>
        <w:t>积极参加体育锻炼，身心健康。</w:t>
      </w:r>
    </w:p>
    <w:p>
      <w:pPr>
        <w:pStyle w:val="8"/>
        <w:numPr>
          <w:ilvl w:val="0"/>
          <w:numId w:val="1"/>
        </w:numPr>
        <w:tabs>
          <w:tab w:val="left" w:pos="1473"/>
        </w:tabs>
        <w:spacing w:before="216" w:after="0" w:line="240" w:lineRule="auto"/>
        <w:ind w:left="1472" w:right="0" w:hanging="753"/>
        <w:jc w:val="left"/>
        <w:rPr>
          <w:sz w:val="30"/>
        </w:rPr>
      </w:pPr>
      <w:r>
        <w:rPr>
          <w:spacing w:val="-11"/>
          <w:sz w:val="30"/>
        </w:rPr>
        <w:t>积极参加社会实践、社会工作或从事社会公益活动等。</w:t>
      </w:r>
    </w:p>
    <w:p>
      <w:pPr>
        <w:pStyle w:val="4"/>
        <w:spacing w:before="203" w:line="326" w:lineRule="auto"/>
        <w:ind w:right="417" w:firstLine="600"/>
      </w:pPr>
      <w:r>
        <w:rPr>
          <w:rFonts w:hint="eastAsia" w:ascii="等线" w:eastAsia="等线"/>
          <w:b/>
        </w:rPr>
        <w:t>第七条</w:t>
      </w:r>
      <w:r>
        <w:rPr>
          <w:spacing w:val="-7"/>
        </w:rPr>
        <w:t>未获得国家和学校其它资助者优先，原则上已获得国</w:t>
      </w:r>
      <w:r>
        <w:t>家留学基金委全额资助者不予参评。</w:t>
      </w:r>
    </w:p>
    <w:p>
      <w:pPr>
        <w:pStyle w:val="4"/>
        <w:spacing w:before="63"/>
        <w:ind w:left="0" w:right="352"/>
        <w:jc w:val="center"/>
      </w:pPr>
      <w:r>
        <w:rPr>
          <w:rFonts w:hint="eastAsia" w:ascii="等线" w:eastAsia="等线"/>
          <w:b/>
        </w:rPr>
        <w:t xml:space="preserve">第八条 </w:t>
      </w:r>
      <w:r>
        <w:t>重点资助有志于学成归国、投身基层的学生。</w:t>
      </w:r>
    </w:p>
    <w:p>
      <w:pPr>
        <w:pStyle w:val="4"/>
        <w:tabs>
          <w:tab w:val="left" w:pos="1202"/>
        </w:tabs>
        <w:spacing w:before="161"/>
        <w:ind w:left="0" w:right="299"/>
        <w:jc w:val="center"/>
      </w:pPr>
      <w:r>
        <w:rPr>
          <w:spacing w:val="3"/>
        </w:rPr>
        <w:t>第</w:t>
      </w:r>
      <w:r>
        <w:t>四章</w:t>
      </w:r>
      <w:r>
        <w:tab/>
      </w:r>
      <w:r>
        <w:rPr>
          <w:spacing w:val="3"/>
        </w:rPr>
        <w:t>评审</w:t>
      </w:r>
      <w:r>
        <w:t>与考核</w:t>
      </w:r>
    </w:p>
    <w:p>
      <w:pPr>
        <w:pStyle w:val="4"/>
        <w:spacing w:before="203" w:line="326" w:lineRule="auto"/>
        <w:ind w:right="414" w:firstLine="600"/>
      </w:pPr>
      <w:r>
        <w:rPr>
          <w:rFonts w:hint="eastAsia" w:ascii="等线" w:hAnsi="等线" w:eastAsia="等线"/>
          <w:b/>
        </w:rPr>
        <w:t xml:space="preserve">第九条 </w:t>
      </w:r>
      <w:r>
        <w:t>本基金的评定工作坚持公开、公平、公正的原则。设奖学院应设立本基金评审委员会（以下简称“学院评审委员</w:t>
      </w:r>
    </w:p>
    <w:p>
      <w:pPr>
        <w:spacing w:after="0" w:line="326" w:lineRule="auto"/>
        <w:sectPr>
          <w:pgSz w:w="11910" w:h="16840"/>
          <w:pgMar w:top="1560" w:right="1380" w:bottom="280" w:left="1680" w:header="720" w:footer="720" w:gutter="0"/>
          <w:cols w:space="720" w:num="1"/>
        </w:sectPr>
      </w:pPr>
    </w:p>
    <w:p>
      <w:pPr>
        <w:pStyle w:val="4"/>
        <w:spacing w:before="41"/>
      </w:pPr>
      <w:r>
        <w:t>会”），开展本基金的评审等相关工作。</w:t>
      </w:r>
    </w:p>
    <w:p>
      <w:pPr>
        <w:pStyle w:val="3"/>
      </w:pPr>
      <w:r>
        <w:t>第十条 评审流程</w:t>
      </w:r>
    </w:p>
    <w:p>
      <w:pPr>
        <w:pStyle w:val="8"/>
        <w:numPr>
          <w:ilvl w:val="0"/>
          <w:numId w:val="0"/>
        </w:numPr>
        <w:tabs>
          <w:tab w:val="left" w:pos="1473"/>
        </w:tabs>
        <w:spacing w:before="161" w:after="0" w:line="374" w:lineRule="auto"/>
        <w:ind w:left="720" w:leftChars="0" w:right="417" w:rightChars="0"/>
        <w:jc w:val="both"/>
        <w:rPr>
          <w:sz w:val="30"/>
        </w:rPr>
      </w:pPr>
      <w:r>
        <w:rPr>
          <w:rFonts w:hint="eastAsia"/>
          <w:spacing w:val="-3"/>
          <w:sz w:val="30"/>
          <w:lang w:eastAsia="zh-CN"/>
        </w:rPr>
        <w:t>（</w:t>
      </w:r>
      <w:r>
        <w:rPr>
          <w:rFonts w:hint="eastAsia"/>
          <w:spacing w:val="-3"/>
          <w:sz w:val="30"/>
          <w:lang w:val="en-US" w:eastAsia="zh-CN"/>
        </w:rPr>
        <w:t>1</w:t>
      </w:r>
      <w:r>
        <w:rPr>
          <w:rFonts w:hint="eastAsia"/>
          <w:spacing w:val="-3"/>
          <w:sz w:val="30"/>
          <w:lang w:eastAsia="zh-CN"/>
        </w:rPr>
        <w:t>）</w:t>
      </w:r>
      <w:r>
        <w:rPr>
          <w:spacing w:val="-3"/>
          <w:sz w:val="30"/>
        </w:rPr>
        <w:t xml:space="preserve">本基金的第一轮申请和评审工作自每年 </w:t>
      </w:r>
      <w:r>
        <w:rPr>
          <w:rFonts w:ascii="Times New Roman" w:eastAsia="Times New Roman"/>
          <w:sz w:val="30"/>
        </w:rPr>
        <w:t>6</w:t>
      </w:r>
      <w:r>
        <w:rPr>
          <w:rFonts w:ascii="Times New Roman" w:eastAsia="Times New Roman"/>
          <w:spacing w:val="27"/>
          <w:sz w:val="30"/>
        </w:rPr>
        <w:t xml:space="preserve"> </w:t>
      </w:r>
      <w:r>
        <w:rPr>
          <w:spacing w:val="-3"/>
          <w:sz w:val="30"/>
        </w:rPr>
        <w:t>月启动，由</w:t>
      </w:r>
      <w:r>
        <w:rPr>
          <w:spacing w:val="-10"/>
          <w:sz w:val="30"/>
        </w:rPr>
        <w:t>设奖学院发布申请通知，并视当年的申请情况和款项结余决定是</w:t>
      </w:r>
      <w:r>
        <w:rPr>
          <w:sz w:val="30"/>
        </w:rPr>
        <w:t>否组织第二轮申请和评审。</w:t>
      </w:r>
    </w:p>
    <w:p>
      <w:pPr>
        <w:pStyle w:val="8"/>
        <w:numPr>
          <w:ilvl w:val="0"/>
          <w:numId w:val="0"/>
        </w:numPr>
        <w:tabs>
          <w:tab w:val="left" w:pos="1477"/>
        </w:tabs>
        <w:spacing w:before="1" w:after="0" w:line="374" w:lineRule="auto"/>
        <w:ind w:left="720" w:leftChars="0" w:right="416" w:rightChars="0"/>
        <w:jc w:val="both"/>
        <w:rPr>
          <w:sz w:val="30"/>
        </w:rPr>
      </w:pPr>
      <w:r>
        <w:rPr>
          <w:rFonts w:hint="eastAsia"/>
          <w:spacing w:val="-1"/>
          <w:sz w:val="30"/>
          <w:lang w:eastAsia="zh-CN"/>
        </w:rPr>
        <w:t>（</w:t>
      </w:r>
      <w:r>
        <w:rPr>
          <w:rFonts w:hint="eastAsia"/>
          <w:spacing w:val="-1"/>
          <w:sz w:val="30"/>
          <w:lang w:val="en-US" w:eastAsia="zh-CN"/>
        </w:rPr>
        <w:t>2</w:t>
      </w:r>
      <w:r>
        <w:rPr>
          <w:rFonts w:hint="eastAsia"/>
          <w:spacing w:val="-1"/>
          <w:sz w:val="30"/>
          <w:lang w:eastAsia="zh-CN"/>
        </w:rPr>
        <w:t>）</w:t>
      </w:r>
      <w:r>
        <w:rPr>
          <w:spacing w:val="-1"/>
          <w:sz w:val="30"/>
        </w:rPr>
        <w:t>学生获得录取通知后，由学生本人提出申请并准备相</w:t>
      </w:r>
      <w:r>
        <w:rPr>
          <w:spacing w:val="-11"/>
          <w:sz w:val="30"/>
        </w:rPr>
        <w:t>应材料，经其导师、学院思政及教学分管领导审核后递交给学院</w:t>
      </w:r>
      <w:r>
        <w:rPr>
          <w:spacing w:val="-9"/>
          <w:sz w:val="30"/>
        </w:rPr>
        <w:t>评审委员会。申请材料必须真实有效，若出现虚假材料，取消申</w:t>
      </w:r>
      <w:r>
        <w:rPr>
          <w:sz w:val="30"/>
        </w:rPr>
        <w:t>请人所有奖助学金申请资格。</w:t>
      </w:r>
    </w:p>
    <w:p>
      <w:pPr>
        <w:pStyle w:val="8"/>
        <w:numPr>
          <w:ilvl w:val="0"/>
          <w:numId w:val="0"/>
        </w:numPr>
        <w:tabs>
          <w:tab w:val="left" w:pos="757"/>
        </w:tabs>
        <w:spacing w:before="2" w:after="0" w:line="240" w:lineRule="auto"/>
        <w:ind w:right="416" w:rightChars="0" w:firstLine="600" w:firstLineChars="200"/>
        <w:jc w:val="both"/>
        <w:rPr>
          <w:sz w:val="30"/>
        </w:rPr>
      </w:pPr>
      <w:r>
        <w:rPr>
          <w:rFonts w:hint="eastAsia"/>
          <w:sz w:val="30"/>
          <w:lang w:eastAsia="zh-CN"/>
        </w:rPr>
        <w:t>（</w:t>
      </w:r>
      <w:r>
        <w:rPr>
          <w:rFonts w:hint="eastAsia"/>
          <w:sz w:val="30"/>
          <w:lang w:val="en-US" w:eastAsia="zh-CN"/>
        </w:rPr>
        <w:t>3</w:t>
      </w:r>
      <w:r>
        <w:rPr>
          <w:rFonts w:hint="eastAsia"/>
          <w:sz w:val="30"/>
          <w:lang w:eastAsia="zh-CN"/>
        </w:rPr>
        <w:t>）</w:t>
      </w:r>
      <w:r>
        <w:rPr>
          <w:sz w:val="30"/>
        </w:rPr>
        <w:t>学院评审委员会根据学生递交材料进行审核评审，按</w:t>
      </w:r>
    </w:p>
    <w:p>
      <w:pPr>
        <w:pStyle w:val="4"/>
        <w:spacing w:before="215"/>
        <w:ind w:left="0" w:right="418"/>
        <w:jc w:val="right"/>
        <w:rPr>
          <w:rFonts w:hint="eastAsia"/>
          <w:lang w:eastAsia="zh-CN"/>
        </w:rPr>
      </w:pPr>
      <w:r>
        <w:rPr>
          <w:rFonts w:hint="eastAsia" w:ascii="Times New Roman"/>
          <w:lang w:val="en-US" w:eastAsia="zh-CN"/>
        </w:rPr>
        <w:t xml:space="preserve">   </w:t>
      </w:r>
      <w:r>
        <w:rPr>
          <w:rFonts w:ascii="Times New Roman" w:eastAsia="Times New Roman"/>
        </w:rPr>
        <w:t>1:1.5</w:t>
      </w:r>
      <w:r>
        <w:rPr>
          <w:rFonts w:ascii="Times New Roman" w:eastAsia="Times New Roman"/>
          <w:spacing w:val="1"/>
        </w:rPr>
        <w:t xml:space="preserve">  </w:t>
      </w:r>
      <w:r>
        <w:t>比例初步确定资助人选、资助时间和资助金额，在</w:t>
      </w:r>
      <w:r>
        <w:rPr>
          <w:rFonts w:hint="eastAsia"/>
          <w:lang w:eastAsia="zh-CN"/>
        </w:rPr>
        <w:t>学院</w:t>
      </w:r>
    </w:p>
    <w:p>
      <w:pPr>
        <w:pStyle w:val="4"/>
        <w:spacing w:before="215"/>
        <w:ind w:left="0" w:right="418" w:firstLine="600" w:firstLineChars="200"/>
        <w:jc w:val="both"/>
      </w:pPr>
      <w:r>
        <w:t xml:space="preserve">网站进行公示，公示时间不少于 </w:t>
      </w:r>
      <w:r>
        <w:rPr>
          <w:rFonts w:ascii="Times New Roman" w:eastAsia="Times New Roman"/>
        </w:rPr>
        <w:t xml:space="preserve">3 </w:t>
      </w:r>
      <w:r>
        <w:t>个工作日。</w:t>
      </w:r>
    </w:p>
    <w:p>
      <w:pPr>
        <w:pStyle w:val="8"/>
        <w:numPr>
          <w:ilvl w:val="0"/>
          <w:numId w:val="0"/>
        </w:numPr>
        <w:tabs>
          <w:tab w:val="left" w:pos="1477"/>
        </w:tabs>
        <w:spacing w:before="216" w:after="0" w:line="374" w:lineRule="auto"/>
        <w:ind w:left="720" w:leftChars="0" w:right="416" w:rightChars="0"/>
        <w:jc w:val="both"/>
        <w:rPr>
          <w:sz w:val="30"/>
        </w:rPr>
      </w:pPr>
      <w:r>
        <w:rPr>
          <w:rFonts w:hint="eastAsia"/>
          <w:spacing w:val="-1"/>
          <w:sz w:val="30"/>
          <w:lang w:eastAsia="zh-CN"/>
        </w:rPr>
        <w:t>（</w:t>
      </w:r>
      <w:r>
        <w:rPr>
          <w:rFonts w:hint="eastAsia"/>
          <w:spacing w:val="-1"/>
          <w:sz w:val="30"/>
          <w:lang w:val="en-US" w:eastAsia="zh-CN"/>
        </w:rPr>
        <w:t>4</w:t>
      </w:r>
      <w:r>
        <w:rPr>
          <w:rFonts w:hint="eastAsia"/>
          <w:spacing w:val="-1"/>
          <w:sz w:val="30"/>
          <w:lang w:eastAsia="zh-CN"/>
        </w:rPr>
        <w:t>）</w:t>
      </w:r>
      <w:r>
        <w:rPr>
          <w:spacing w:val="-1"/>
          <w:sz w:val="30"/>
        </w:rPr>
        <w:t>学院在公示期结束且无异议后，将上述评审结果提交</w:t>
      </w:r>
      <w:r>
        <w:rPr>
          <w:rFonts w:ascii="Times New Roman" w:hAnsi="Times New Roman" w:eastAsia="Times New Roman"/>
          <w:sz w:val="30"/>
        </w:rPr>
        <w:t>“</w:t>
      </w:r>
      <w:r>
        <w:rPr>
          <w:sz w:val="30"/>
        </w:rPr>
        <w:t>浙江大学青山海外交流基金管理委员会</w:t>
      </w:r>
      <w:r>
        <w:rPr>
          <w:rFonts w:ascii="Times New Roman" w:hAnsi="Times New Roman" w:eastAsia="Times New Roman"/>
          <w:sz w:val="30"/>
        </w:rPr>
        <w:t>”</w:t>
      </w:r>
      <w:r>
        <w:rPr>
          <w:spacing w:val="-9"/>
          <w:sz w:val="30"/>
        </w:rPr>
        <w:t>进行终审，由管委会确</w:t>
      </w:r>
      <w:r>
        <w:rPr>
          <w:sz w:val="30"/>
        </w:rPr>
        <w:t>定最终资助对象。</w:t>
      </w:r>
    </w:p>
    <w:p>
      <w:pPr>
        <w:pStyle w:val="4"/>
        <w:spacing w:line="326" w:lineRule="auto"/>
        <w:ind w:right="415" w:firstLine="600"/>
        <w:jc w:val="both"/>
      </w:pPr>
      <w:r>
        <w:rPr>
          <w:rFonts w:hint="eastAsia" w:ascii="等线" w:eastAsia="等线"/>
          <w:b/>
        </w:rPr>
        <w:t xml:space="preserve">第十一条 </w:t>
      </w:r>
      <w:r>
        <w:t>获奖学生应每年度上交总结报告、科研成果等， 学院评审委员会根据学生总结材料或者汇报答辩会等方式对获</w:t>
      </w:r>
    </w:p>
    <w:p>
      <w:pPr>
        <w:pStyle w:val="4"/>
        <w:spacing w:before="64" w:line="374" w:lineRule="auto"/>
        <w:ind w:right="114"/>
      </w:pPr>
      <w:r>
        <w:rPr>
          <w:spacing w:val="-11"/>
        </w:rPr>
        <w:t>奖学生进行年度考核，学生考核合格后方可获得下一学年的资助。</w:t>
      </w:r>
      <w:r>
        <w:t>同时，考核不合格者将取消第二年资助资格。</w:t>
      </w:r>
    </w:p>
    <w:p>
      <w:pPr>
        <w:pStyle w:val="4"/>
        <w:tabs>
          <w:tab w:val="left" w:pos="3667"/>
        </w:tabs>
        <w:ind w:left="2464"/>
      </w:pPr>
      <w:r>
        <w:rPr>
          <w:spacing w:val="3"/>
        </w:rPr>
        <w:t>第</w:t>
      </w:r>
      <w:r>
        <w:t>五章</w:t>
      </w:r>
      <w:r>
        <w:tab/>
      </w:r>
      <w:r>
        <w:rPr>
          <w:spacing w:val="3"/>
        </w:rPr>
        <w:t>基金</w:t>
      </w:r>
      <w:r>
        <w:t>的发</w:t>
      </w:r>
      <w:r>
        <w:rPr>
          <w:spacing w:val="3"/>
        </w:rPr>
        <w:t>放</w:t>
      </w:r>
      <w:r>
        <w:t>与</w:t>
      </w:r>
      <w:r>
        <w:rPr>
          <w:spacing w:val="3"/>
        </w:rPr>
        <w:t>管</w:t>
      </w:r>
      <w:r>
        <w:t>理</w:t>
      </w:r>
    </w:p>
    <w:p>
      <w:pPr>
        <w:pStyle w:val="4"/>
        <w:spacing w:before="203" w:line="326" w:lineRule="auto"/>
        <w:ind w:right="417" w:firstLine="600"/>
      </w:pPr>
      <w:r>
        <w:rPr>
          <w:rFonts w:hint="eastAsia" w:ascii="等线" w:eastAsia="等线"/>
          <w:b/>
        </w:rPr>
        <w:t>第十二条</w:t>
      </w:r>
      <w:r>
        <w:rPr>
          <w:spacing w:val="-11"/>
        </w:rPr>
        <w:t>本基金按年度发放，获奖学生取得签证后开始发放</w:t>
      </w:r>
      <w:r>
        <w:t>第一笔基金。</w:t>
      </w:r>
    </w:p>
    <w:p>
      <w:pPr>
        <w:pStyle w:val="4"/>
        <w:spacing w:before="63"/>
        <w:ind w:left="720"/>
      </w:pPr>
      <w:r>
        <w:rPr>
          <w:rFonts w:hint="eastAsia" w:ascii="等线" w:eastAsia="等线"/>
          <w:b/>
        </w:rPr>
        <w:t>第十三条</w:t>
      </w:r>
      <w:r>
        <w:t>正常情况下获奖学生应按期派出。逾期未成行者或</w:t>
      </w:r>
    </w:p>
    <w:p>
      <w:pPr>
        <w:spacing w:after="0"/>
        <w:sectPr>
          <w:pgSz w:w="11910" w:h="16840"/>
          <w:pgMar w:top="1560" w:right="1380" w:bottom="280" w:left="1680" w:header="720" w:footer="720" w:gutter="0"/>
          <w:cols w:space="720" w:num="1"/>
        </w:sectPr>
      </w:pPr>
    </w:p>
    <w:p>
      <w:pPr>
        <w:pStyle w:val="4"/>
        <w:spacing w:before="41" w:line="374" w:lineRule="auto"/>
        <w:ind w:right="420"/>
      </w:pPr>
      <w:r>
        <w:rPr>
          <w:spacing w:val="-7"/>
        </w:rPr>
        <w:t>未按要求完成培养环节者，将自动取消获奖资格，同时学校有权</w:t>
      </w:r>
      <w:r>
        <w:t>追回前期资助金额。</w:t>
      </w:r>
    </w:p>
    <w:p>
      <w:pPr>
        <w:pStyle w:val="4"/>
        <w:spacing w:line="326" w:lineRule="auto"/>
        <w:ind w:right="114" w:firstLine="600"/>
      </w:pPr>
      <w:r>
        <w:rPr>
          <w:rFonts w:hint="eastAsia" w:ascii="等线" w:eastAsia="等线"/>
          <w:b/>
        </w:rPr>
        <w:t>第十四条</w:t>
      </w:r>
      <w:r>
        <w:rPr>
          <w:spacing w:val="-6"/>
        </w:rPr>
        <w:t xml:space="preserve">若获奖学生在受资助期间出现违法违纪、损害国家 </w:t>
      </w:r>
      <w:r>
        <w:rPr>
          <w:spacing w:val="-13"/>
        </w:rPr>
        <w:t>利益或因个人原因而无法继续学业、相关材料与实际不符等情况，</w:t>
      </w:r>
    </w:p>
    <w:p>
      <w:pPr>
        <w:pStyle w:val="4"/>
        <w:spacing w:before="64" w:line="374" w:lineRule="auto"/>
        <w:ind w:right="417"/>
      </w:pPr>
      <w:r>
        <w:rPr>
          <w:spacing w:val="-8"/>
        </w:rPr>
        <w:t>则撤销该荣誉并停止发放本基金，同时学校有权追回前期资助金</w:t>
      </w:r>
      <w:r>
        <w:t>额。</w:t>
      </w:r>
    </w:p>
    <w:p>
      <w:pPr>
        <w:pStyle w:val="4"/>
        <w:tabs>
          <w:tab w:val="left" w:pos="4495"/>
        </w:tabs>
        <w:spacing w:before="1"/>
        <w:ind w:left="3292"/>
      </w:pPr>
      <w:r>
        <w:rPr>
          <w:spacing w:val="3"/>
        </w:rPr>
        <w:t>第</w:t>
      </w:r>
      <w:r>
        <w:t>六章</w:t>
      </w:r>
      <w:r>
        <w:tab/>
      </w:r>
      <w:r>
        <w:t>其</w:t>
      </w:r>
      <w:r>
        <w:rPr>
          <w:spacing w:val="3"/>
        </w:rPr>
        <w:t xml:space="preserve"> </w:t>
      </w:r>
      <w:r>
        <w:t>他</w:t>
      </w:r>
    </w:p>
    <w:p>
      <w:pPr>
        <w:pStyle w:val="4"/>
        <w:spacing w:before="203" w:line="326" w:lineRule="auto"/>
        <w:ind w:right="417" w:firstLine="600"/>
      </w:pPr>
      <w:r>
        <w:rPr>
          <w:rFonts w:hint="eastAsia" w:ascii="等线" w:eastAsia="等线"/>
          <w:b/>
        </w:rPr>
        <w:t>第十五条</w:t>
      </w:r>
      <w:r>
        <w:rPr>
          <w:spacing w:val="-8"/>
        </w:rPr>
        <w:t>本办法自公布之日起开始实施，由学院评审委员会</w:t>
      </w:r>
      <w:r>
        <w:t>负责解释。</w:t>
      </w:r>
    </w:p>
    <w:p>
      <w:pPr>
        <w:pStyle w:val="4"/>
        <w:ind w:left="0"/>
      </w:pPr>
    </w:p>
    <w:p>
      <w:pPr>
        <w:pStyle w:val="4"/>
        <w:ind w:left="0"/>
      </w:pPr>
    </w:p>
    <w:p>
      <w:pPr>
        <w:pStyle w:val="4"/>
        <w:spacing w:line="326" w:lineRule="auto"/>
        <w:ind w:right="114" w:firstLine="600"/>
        <w:jc w:val="right"/>
        <w:rPr>
          <w:rFonts w:hint="eastAsia"/>
          <w:spacing w:val="-6"/>
        </w:rPr>
      </w:pPr>
      <w:r>
        <w:rPr>
          <w:rFonts w:hint="eastAsia"/>
          <w:spacing w:val="-6"/>
        </w:rPr>
        <w:t xml:space="preserve">浙江大学材料科学与工程学院 </w:t>
      </w:r>
    </w:p>
    <w:p>
      <w:pPr>
        <w:pStyle w:val="4"/>
        <w:spacing w:line="326" w:lineRule="auto"/>
        <w:ind w:right="114" w:firstLine="600"/>
        <w:jc w:val="right"/>
        <w:rPr>
          <w:rFonts w:hint="eastAsia"/>
          <w:spacing w:val="-6"/>
        </w:rPr>
      </w:pPr>
      <w:r>
        <w:rPr>
          <w:rFonts w:hint="eastAsia"/>
          <w:spacing w:val="-6"/>
        </w:rPr>
        <w:t>浙江大学能源工程学院</w:t>
      </w:r>
    </w:p>
    <w:p>
      <w:pPr>
        <w:pStyle w:val="4"/>
        <w:spacing w:line="326" w:lineRule="auto"/>
        <w:ind w:right="114" w:firstLine="600"/>
        <w:jc w:val="right"/>
        <w:rPr>
          <w:spacing w:val="-6"/>
        </w:rPr>
      </w:pPr>
      <w:r>
        <w:rPr>
          <w:rFonts w:hint="eastAsia"/>
          <w:spacing w:val="-6"/>
        </w:rPr>
        <w:t>浙江大学控制科学与工程学院</w:t>
      </w:r>
    </w:p>
    <w:p>
      <w:pPr>
        <w:pStyle w:val="4"/>
        <w:spacing w:line="374" w:lineRule="auto"/>
        <w:ind w:left="6352" w:leftChars="2057" w:right="417" w:hanging="1827" w:hangingChars="609"/>
        <w:rPr>
          <w:rFonts w:hint="eastAsia" w:eastAsia="宋体"/>
          <w:lang w:eastAsia="zh-CN"/>
        </w:rPr>
      </w:pPr>
      <w:bookmarkStart w:id="0" w:name="_GoBack"/>
      <w:bookmarkEnd w:id="0"/>
    </w:p>
    <w:sectPr>
      <w:pgSz w:w="11910" w:h="16840"/>
      <w:pgMar w:top="1560" w:right="138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S PMincho">
    <w:panose1 w:val="02020600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20" w:hanging="757"/>
        <w:jc w:val="left"/>
      </w:pPr>
      <w:rPr>
        <w:rFonts w:hint="default" w:ascii="宋体" w:hAnsi="宋体" w:eastAsia="宋体" w:cs="宋体"/>
        <w:spacing w:val="1"/>
        <w:w w:val="100"/>
        <w:sz w:val="28"/>
        <w:szCs w:val="28"/>
        <w:lang w:val="zh-CN" w:eastAsia="zh-CN" w:bidi="zh-CN"/>
      </w:rPr>
    </w:lvl>
    <w:lvl w:ilvl="1" w:tentative="0">
      <w:start w:val="0"/>
      <w:numFmt w:val="bullet"/>
      <w:lvlText w:val="•"/>
      <w:lvlJc w:val="left"/>
      <w:pPr>
        <w:ind w:left="992" w:hanging="757"/>
      </w:pPr>
      <w:rPr>
        <w:rFonts w:hint="default"/>
        <w:lang w:val="zh-CN" w:eastAsia="zh-CN" w:bidi="zh-CN"/>
      </w:rPr>
    </w:lvl>
    <w:lvl w:ilvl="2" w:tentative="0">
      <w:start w:val="0"/>
      <w:numFmt w:val="bullet"/>
      <w:lvlText w:val="•"/>
      <w:lvlJc w:val="left"/>
      <w:pPr>
        <w:ind w:left="1865" w:hanging="757"/>
      </w:pPr>
      <w:rPr>
        <w:rFonts w:hint="default"/>
        <w:lang w:val="zh-CN" w:eastAsia="zh-CN" w:bidi="zh-CN"/>
      </w:rPr>
    </w:lvl>
    <w:lvl w:ilvl="3" w:tentative="0">
      <w:start w:val="0"/>
      <w:numFmt w:val="bullet"/>
      <w:lvlText w:val="•"/>
      <w:lvlJc w:val="left"/>
      <w:pPr>
        <w:ind w:left="2737" w:hanging="757"/>
      </w:pPr>
      <w:rPr>
        <w:rFonts w:hint="default"/>
        <w:lang w:val="zh-CN" w:eastAsia="zh-CN" w:bidi="zh-CN"/>
      </w:rPr>
    </w:lvl>
    <w:lvl w:ilvl="4" w:tentative="0">
      <w:start w:val="0"/>
      <w:numFmt w:val="bullet"/>
      <w:lvlText w:val="•"/>
      <w:lvlJc w:val="left"/>
      <w:pPr>
        <w:ind w:left="3610" w:hanging="757"/>
      </w:pPr>
      <w:rPr>
        <w:rFonts w:hint="default"/>
        <w:lang w:val="zh-CN" w:eastAsia="zh-CN" w:bidi="zh-CN"/>
      </w:rPr>
    </w:lvl>
    <w:lvl w:ilvl="5" w:tentative="0">
      <w:start w:val="0"/>
      <w:numFmt w:val="bullet"/>
      <w:lvlText w:val="•"/>
      <w:lvlJc w:val="left"/>
      <w:pPr>
        <w:ind w:left="4483" w:hanging="757"/>
      </w:pPr>
      <w:rPr>
        <w:rFonts w:hint="default"/>
        <w:lang w:val="zh-CN" w:eastAsia="zh-CN" w:bidi="zh-CN"/>
      </w:rPr>
    </w:lvl>
    <w:lvl w:ilvl="6" w:tentative="0">
      <w:start w:val="0"/>
      <w:numFmt w:val="bullet"/>
      <w:lvlText w:val="•"/>
      <w:lvlJc w:val="left"/>
      <w:pPr>
        <w:ind w:left="5355" w:hanging="757"/>
      </w:pPr>
      <w:rPr>
        <w:rFonts w:hint="default"/>
        <w:lang w:val="zh-CN" w:eastAsia="zh-CN" w:bidi="zh-CN"/>
      </w:rPr>
    </w:lvl>
    <w:lvl w:ilvl="7" w:tentative="0">
      <w:start w:val="0"/>
      <w:numFmt w:val="bullet"/>
      <w:lvlText w:val="•"/>
      <w:lvlJc w:val="left"/>
      <w:pPr>
        <w:ind w:left="6228" w:hanging="757"/>
      </w:pPr>
      <w:rPr>
        <w:rFonts w:hint="default"/>
        <w:lang w:val="zh-CN" w:eastAsia="zh-CN" w:bidi="zh-CN"/>
      </w:rPr>
    </w:lvl>
    <w:lvl w:ilvl="8" w:tentative="0">
      <w:start w:val="0"/>
      <w:numFmt w:val="bullet"/>
      <w:lvlText w:val="•"/>
      <w:lvlJc w:val="left"/>
      <w:pPr>
        <w:ind w:left="7101" w:hanging="757"/>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jIzYTMxOTJiYTVjNWEzMWU4MGZkNWU4MDk4M2ZiNDgifQ=="/>
  </w:docVars>
  <w:rsids>
    <w:rsidRoot w:val="00000000"/>
    <w:rsid w:val="606113DE"/>
    <w:rsid w:val="77D724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1"/>
      <w:ind w:right="300"/>
      <w:jc w:val="center"/>
      <w:outlineLvl w:val="1"/>
    </w:pPr>
    <w:rPr>
      <w:rFonts w:ascii="MS PMincho" w:hAnsi="MS PMincho" w:eastAsia="MS PMincho" w:cs="MS PMincho"/>
      <w:sz w:val="36"/>
      <w:szCs w:val="36"/>
      <w:lang w:val="zh-CN" w:eastAsia="zh-CN" w:bidi="zh-CN"/>
    </w:rPr>
  </w:style>
  <w:style w:type="paragraph" w:styleId="3">
    <w:name w:val="heading 2"/>
    <w:basedOn w:val="1"/>
    <w:next w:val="1"/>
    <w:qFormat/>
    <w:uiPriority w:val="1"/>
    <w:pPr>
      <w:spacing w:before="203"/>
      <w:ind w:left="720"/>
      <w:outlineLvl w:val="2"/>
    </w:pPr>
    <w:rPr>
      <w:rFonts w:ascii="等线" w:hAnsi="等线" w:eastAsia="等线" w:cs="等线"/>
      <w:b/>
      <w:bCs/>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宋体" w:hAnsi="宋体" w:eastAsia="宋体" w:cs="宋体"/>
      <w:sz w:val="30"/>
      <w:szCs w:val="30"/>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
      <w:ind w:left="120" w:right="416" w:firstLine="600"/>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1547</Words>
  <Characters>1574</Characters>
  <TotalTime>2</TotalTime>
  <ScaleCrop>false</ScaleCrop>
  <LinksUpToDate>false</LinksUpToDate>
  <CharactersWithSpaces>1616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2022-06-22T01:02:00Z</dcterms:created>
  <dc:creator>yqk</dc:creator>
  <cp:lastModifiedBy>WPS_1507882894</cp:lastModifiedBy>
  <dcterms:modified xsi:type="dcterms:W3CDTF">2022-06-22T01:34:15Z</dcterms:modified>
  <dc:title>Microsoft Word - Rqw¤AúÑž½žÕ_ÕL_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LastSaved">
    <vt:filetime>2022-06-22T00:00:00Z</vt:filetime>
  </property>
  <property fmtid="{D5CDD505-2E9C-101B-9397-08002B2CF9AE}" pid="4" name="KSOProductBuildVer">
    <vt:lpwstr>2052-11.1.0.11830</vt:lpwstr>
  </property>
  <property fmtid="{D5CDD505-2E9C-101B-9397-08002B2CF9AE}" pid="5" name="ICV">
    <vt:lpwstr>B34B4972DDBF4E78BC9B46B83DA0FC34</vt:lpwstr>
  </property>
</Properties>
</file>